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WellCMS v2.3.0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WellCMS v2.3.0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6BAE999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1、管理员账号登录系统后台，进入系统配置→基本设置，开启注册手机验证功能，填写互亿无线 APIID、互亿无线 APIKEY 及短信模板内容。</w:t>
      </w:r>
    </w:p>
    <w:p w14:paraId="52E42A1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注意：开启注册手机验证功能前，需关闭注册邮箱验证功能，二者同时开启将导致功能冲突。</w:t>
      </w:r>
    </w:p>
    <w:p w14:paraId="7ADBBB09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短信模板示例：您的验证码是：{$code}。请不要把验证码泄露给其他人。</w:t>
      </w:r>
    </w:p>
    <w:p w14:paraId="0705FCD2">
      <w:pPr>
        <w:snapToGrid w:val="0"/>
      </w:pPr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8710" cy="3656965"/>
            <wp:effectExtent l="0" t="0" r="254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6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C140D">
      <w:pPr>
        <w:snapToGrid w:val="0"/>
        <w:rPr>
          <w:rFonts w:hint="eastAsia"/>
        </w:rPr>
      </w:pPr>
      <w:bookmarkStart w:id="0" w:name="_GoBack"/>
      <w:bookmarkEnd w:id="0"/>
    </w:p>
    <w:p w14:paraId="261695A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若操作后页面未呈现预期变化，请及时清理系统缓存。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"https://user.ihuyi.com/new/p.html?c=wellcms230"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https://user.ihuyi.com/new/p.html?c=wellcms230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"https://user.ihuyi.com/new/p.html?c=wellcms230"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https://user.ihuyi.com/new/p.html?c=wellcms230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0BD730A1"/>
    <w:rsid w:val="10462AEE"/>
    <w:rsid w:val="1CF35F7A"/>
    <w:rsid w:val="29AE167B"/>
    <w:rsid w:val="319E3B07"/>
    <w:rsid w:val="348C6893"/>
    <w:rsid w:val="41BF6718"/>
    <w:rsid w:val="47FA6B66"/>
    <w:rsid w:val="62F61313"/>
    <w:rsid w:val="63745B72"/>
    <w:rsid w:val="64D25334"/>
    <w:rsid w:val="6FA81A3C"/>
    <w:rsid w:val="7344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629</Words>
  <Characters>975</Characters>
  <Lines>22</Lines>
  <Paragraphs>6</Paragraphs>
  <TotalTime>403</TotalTime>
  <ScaleCrop>false</ScaleCrop>
  <LinksUpToDate>false</LinksUpToDate>
  <CharactersWithSpaces>983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2026-01-19T07:33:45Z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